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6C5A37" w14:paraId="2D39102C" w14:textId="77777777" w:rsidTr="00BF00C2">
        <w:trPr>
          <w:trHeight w:val="806"/>
        </w:trPr>
        <w:tc>
          <w:tcPr>
            <w:tcW w:w="9493" w:type="dxa"/>
          </w:tcPr>
          <w:p w14:paraId="1CE5078A" w14:textId="5644AACC" w:rsidR="006C5A37" w:rsidRDefault="006C5A37">
            <w:pPr>
              <w:rPr>
                <w:sz w:val="24"/>
                <w:szCs w:val="24"/>
              </w:rPr>
            </w:pPr>
            <w:r w:rsidRPr="00BF00C2">
              <w:rPr>
                <w:sz w:val="24"/>
                <w:szCs w:val="24"/>
              </w:rPr>
              <w:t xml:space="preserve">Kiedy </w:t>
            </w:r>
            <w:r w:rsidR="00296D15" w:rsidRPr="00BF00C2">
              <w:rPr>
                <w:sz w:val="24"/>
                <w:szCs w:val="24"/>
              </w:rPr>
              <w:t>ktoś</w:t>
            </w:r>
            <w:r w:rsidRPr="00BF00C2">
              <w:rPr>
                <w:sz w:val="24"/>
                <w:szCs w:val="24"/>
              </w:rPr>
              <w:t xml:space="preserve"> powie „Rozpoczynamy trzynasty, szczęśliwy, tydzień nauki!” wstań i powiedz „Powtórzmy wiadomości z poprzedniej lekcji! Przedziały to podzbiory zbioru liczb rzeczywistych, można wykonywać na nich działania: </w:t>
            </w:r>
            <w:r w:rsidRPr="00BF00C2">
              <w:rPr>
                <w:rFonts w:ascii="Cambria Math" w:hAnsi="Cambria Math" w:cs="Cambria Math"/>
                <w:sz w:val="24"/>
                <w:szCs w:val="24"/>
              </w:rPr>
              <w:t>∪</w:t>
            </w:r>
            <w:r w:rsidR="00746E4A">
              <w:rPr>
                <w:rFonts w:ascii="Cambria Math" w:hAnsi="Cambria Math" w:cs="Cambria Math"/>
                <w:sz w:val="24"/>
                <w:szCs w:val="24"/>
              </w:rPr>
              <w:t xml:space="preserve"> </w:t>
            </w:r>
            <w:r w:rsidRPr="00BF00C2">
              <w:rPr>
                <w:sz w:val="24"/>
                <w:szCs w:val="24"/>
              </w:rPr>
              <w:t>,</w:t>
            </w:r>
            <w:r w:rsidRPr="00BF00C2">
              <w:rPr>
                <w:rFonts w:ascii="Calibri" w:hAnsi="Calibri" w:cs="Calibri"/>
                <w:sz w:val="24"/>
                <w:szCs w:val="24"/>
              </w:rPr>
              <w:t>∩</w:t>
            </w:r>
            <w:r w:rsidRPr="00BF00C2">
              <w:rPr>
                <w:sz w:val="24"/>
                <w:szCs w:val="24"/>
              </w:rPr>
              <w:t>, \</w:t>
            </w:r>
            <w:r w:rsidR="00746E4A">
              <w:rPr>
                <w:sz w:val="24"/>
                <w:szCs w:val="24"/>
              </w:rPr>
              <w:t xml:space="preserve"> (</w:t>
            </w:r>
            <w:r w:rsidR="00746E4A" w:rsidRPr="00746E4A">
              <w:rPr>
                <w:i/>
                <w:iCs/>
                <w:sz w:val="24"/>
                <w:szCs w:val="24"/>
              </w:rPr>
              <w:t>czyt. Suma, iloczyn, różnica</w:t>
            </w:r>
            <w:r w:rsidR="00746E4A">
              <w:rPr>
                <w:sz w:val="24"/>
                <w:szCs w:val="24"/>
              </w:rPr>
              <w:t>)</w:t>
            </w:r>
            <w:r w:rsidRPr="00BF00C2">
              <w:rPr>
                <w:sz w:val="24"/>
                <w:szCs w:val="24"/>
              </w:rPr>
              <w:t xml:space="preserve">.” </w:t>
            </w:r>
          </w:p>
          <w:p w14:paraId="4F488C3E" w14:textId="04C5373E" w:rsidR="00BF00C2" w:rsidRPr="00BF00C2" w:rsidRDefault="00BF00C2">
            <w:pPr>
              <w:rPr>
                <w:sz w:val="24"/>
                <w:szCs w:val="24"/>
              </w:rPr>
            </w:pPr>
          </w:p>
        </w:tc>
      </w:tr>
      <w:tr w:rsidR="006C5A37" w14:paraId="6746C5D2" w14:textId="77777777" w:rsidTr="00BF00C2">
        <w:trPr>
          <w:trHeight w:val="1348"/>
        </w:trPr>
        <w:tc>
          <w:tcPr>
            <w:tcW w:w="9493" w:type="dxa"/>
          </w:tcPr>
          <w:p w14:paraId="69CD4CA9" w14:textId="77777777" w:rsidR="006C5A37" w:rsidRDefault="006C5A37">
            <w:pPr>
              <w:rPr>
                <w:sz w:val="24"/>
                <w:szCs w:val="24"/>
              </w:rPr>
            </w:pPr>
            <w:r w:rsidRPr="00BF00C2">
              <w:rPr>
                <w:sz w:val="24"/>
                <w:szCs w:val="24"/>
              </w:rPr>
              <w:t xml:space="preserve">Kiedy ktoś powie „Przedziały to podzbiory zbioru liczb rzeczywistych, można wykonywać na nich działania: </w:t>
            </w:r>
            <w:r w:rsidRPr="00BF00C2">
              <w:rPr>
                <w:rFonts w:ascii="Cambria Math" w:hAnsi="Cambria Math" w:cs="Cambria Math"/>
                <w:sz w:val="24"/>
                <w:szCs w:val="24"/>
              </w:rPr>
              <w:t>∪</w:t>
            </w:r>
            <w:r w:rsidRPr="00BF00C2">
              <w:rPr>
                <w:sz w:val="24"/>
                <w:szCs w:val="24"/>
              </w:rPr>
              <w:t>,</w:t>
            </w:r>
            <w:r w:rsidRPr="00BF00C2">
              <w:rPr>
                <w:rFonts w:ascii="Calibri" w:hAnsi="Calibri" w:cs="Calibri"/>
                <w:sz w:val="24"/>
                <w:szCs w:val="24"/>
              </w:rPr>
              <w:t>∩</w:t>
            </w:r>
            <w:r w:rsidRPr="00BF00C2">
              <w:rPr>
                <w:sz w:val="24"/>
                <w:szCs w:val="24"/>
              </w:rPr>
              <w:t>, \.” podejdź do tablicy i powiedz „Otwórzcie zeszyty i zaznaczcie razem ze mną dwa przedziały liczbowe. Pamiętajcie o użyciu</w:t>
            </w:r>
            <w:r w:rsidR="007D5689" w:rsidRPr="00BF00C2">
              <w:rPr>
                <w:sz w:val="24"/>
                <w:szCs w:val="24"/>
              </w:rPr>
              <w:t xml:space="preserve"> dwóch</w:t>
            </w:r>
            <w:r w:rsidRPr="00BF00C2">
              <w:rPr>
                <w:sz w:val="24"/>
                <w:szCs w:val="24"/>
              </w:rPr>
              <w:t xml:space="preserve"> kolorów!”, a następnie narysuj na tablicy oś liczbową i zaznacz na niej dwa przedziały A=[-2,3]</w:t>
            </w:r>
            <w:r w:rsidR="007D5689" w:rsidRPr="00BF00C2">
              <w:rPr>
                <w:sz w:val="24"/>
                <w:szCs w:val="24"/>
              </w:rPr>
              <w:t xml:space="preserve"> oraz </w:t>
            </w:r>
            <w:r w:rsidRPr="00BF00C2">
              <w:rPr>
                <w:sz w:val="24"/>
                <w:szCs w:val="24"/>
              </w:rPr>
              <w:t>B=(0,5). Przedział A zaznacz kolorem zielonym, B kolorem czerwonym.</w:t>
            </w:r>
            <w:r w:rsidR="008C0A9D" w:rsidRPr="00BF00C2">
              <w:rPr>
                <w:sz w:val="24"/>
                <w:szCs w:val="24"/>
              </w:rPr>
              <w:t xml:space="preserve"> Następnie wróć na swoje miejsce.</w:t>
            </w:r>
          </w:p>
          <w:p w14:paraId="012E462C" w14:textId="195EED96" w:rsidR="00BF00C2" w:rsidRPr="00BF00C2" w:rsidRDefault="00BF00C2">
            <w:pPr>
              <w:rPr>
                <w:sz w:val="24"/>
                <w:szCs w:val="24"/>
              </w:rPr>
            </w:pPr>
          </w:p>
        </w:tc>
      </w:tr>
      <w:tr w:rsidR="006C5A37" w14:paraId="63B493F2" w14:textId="77777777" w:rsidTr="00BF00C2">
        <w:trPr>
          <w:trHeight w:val="1071"/>
        </w:trPr>
        <w:tc>
          <w:tcPr>
            <w:tcW w:w="9493" w:type="dxa"/>
          </w:tcPr>
          <w:p w14:paraId="7D55CD48" w14:textId="58609ADC" w:rsidR="006C5A37" w:rsidRDefault="006C5A37">
            <w:pPr>
              <w:rPr>
                <w:sz w:val="24"/>
                <w:szCs w:val="24"/>
              </w:rPr>
            </w:pPr>
            <w:r w:rsidRPr="00BF00C2">
              <w:rPr>
                <w:sz w:val="24"/>
                <w:szCs w:val="24"/>
              </w:rPr>
              <w:t>Kiedy na tablicy pojawią się zaznaczone przedziały liczbowe, podejdź do tablicy i powiedz „Sumie przedziałów A i B odpowiada ta część osi, która jest zaznaczona co najmniej jednym kolorem. Inaczej mówiąc</w:t>
            </w:r>
            <w:r w:rsidR="007D5689" w:rsidRPr="00BF00C2">
              <w:rPr>
                <w:sz w:val="24"/>
                <w:szCs w:val="24"/>
              </w:rPr>
              <w:t>,</w:t>
            </w:r>
            <w:r w:rsidRPr="00BF00C2">
              <w:rPr>
                <w:sz w:val="24"/>
                <w:szCs w:val="24"/>
              </w:rPr>
              <w:t xml:space="preserve"> sumie</w:t>
            </w:r>
            <w:r w:rsidR="007D5689" w:rsidRPr="00BF00C2">
              <w:rPr>
                <w:sz w:val="24"/>
                <w:szCs w:val="24"/>
              </w:rPr>
              <w:t xml:space="preserve"> przedziałów</w:t>
            </w:r>
            <w:r w:rsidRPr="00BF00C2">
              <w:rPr>
                <w:sz w:val="24"/>
                <w:szCs w:val="24"/>
              </w:rPr>
              <w:t xml:space="preserve"> odpowiada przedział, który </w:t>
            </w:r>
            <w:r w:rsidR="007D5689" w:rsidRPr="00BF00C2">
              <w:rPr>
                <w:sz w:val="24"/>
                <w:szCs w:val="24"/>
              </w:rPr>
              <w:t>obejmuje</w:t>
            </w:r>
            <w:r w:rsidRPr="00BF00C2">
              <w:rPr>
                <w:sz w:val="24"/>
                <w:szCs w:val="24"/>
              </w:rPr>
              <w:t xml:space="preserve"> wszystkie zaznaczone </w:t>
            </w:r>
            <w:r w:rsidR="007D5689" w:rsidRPr="00BF00C2">
              <w:rPr>
                <w:sz w:val="24"/>
                <w:szCs w:val="24"/>
              </w:rPr>
              <w:t>liczby</w:t>
            </w:r>
            <w:r w:rsidRPr="00BF00C2">
              <w:rPr>
                <w:sz w:val="24"/>
                <w:szCs w:val="24"/>
              </w:rPr>
              <w:t>”, a następnie zapisz na tablicy A</w:t>
            </w:r>
            <w:r w:rsidRPr="00BF00C2">
              <w:rPr>
                <w:rFonts w:ascii="Cambria Math" w:hAnsi="Cambria Math" w:cs="Cambria Math"/>
                <w:sz w:val="24"/>
                <w:szCs w:val="24"/>
              </w:rPr>
              <w:t>∪</w:t>
            </w:r>
            <w:r w:rsidRPr="00BF00C2">
              <w:rPr>
                <w:sz w:val="24"/>
                <w:szCs w:val="24"/>
              </w:rPr>
              <w:t>B=[-2,5).</w:t>
            </w:r>
            <w:r w:rsidR="008C0A9D" w:rsidRPr="00BF00C2">
              <w:rPr>
                <w:sz w:val="24"/>
                <w:szCs w:val="24"/>
              </w:rPr>
              <w:t xml:space="preserve"> Następnie wróć na swoje miejsce.</w:t>
            </w:r>
          </w:p>
          <w:p w14:paraId="21200034" w14:textId="0402DFF1" w:rsidR="00BF00C2" w:rsidRPr="00BF00C2" w:rsidRDefault="00BF00C2">
            <w:pPr>
              <w:rPr>
                <w:sz w:val="24"/>
                <w:szCs w:val="24"/>
              </w:rPr>
            </w:pPr>
          </w:p>
        </w:tc>
      </w:tr>
      <w:tr w:rsidR="006C5A37" w14:paraId="0D304B31" w14:textId="77777777" w:rsidTr="00BF00C2">
        <w:trPr>
          <w:trHeight w:val="1071"/>
        </w:trPr>
        <w:tc>
          <w:tcPr>
            <w:tcW w:w="9493" w:type="dxa"/>
          </w:tcPr>
          <w:p w14:paraId="2B38F736" w14:textId="77777777" w:rsidR="006C5A37" w:rsidRDefault="007D5689">
            <w:pPr>
              <w:rPr>
                <w:sz w:val="24"/>
                <w:szCs w:val="24"/>
              </w:rPr>
            </w:pPr>
            <w:r w:rsidRPr="00BF00C2">
              <w:rPr>
                <w:sz w:val="24"/>
                <w:szCs w:val="24"/>
              </w:rPr>
              <w:t>Kiedy na tablicy pojawi się zapis A</w:t>
            </w:r>
            <w:r w:rsidRPr="00BF00C2">
              <w:rPr>
                <w:rFonts w:ascii="Cambria Math" w:hAnsi="Cambria Math" w:cs="Cambria Math"/>
                <w:sz w:val="24"/>
                <w:szCs w:val="24"/>
              </w:rPr>
              <w:t>∪</w:t>
            </w:r>
            <w:r w:rsidRPr="00BF00C2">
              <w:rPr>
                <w:sz w:val="24"/>
                <w:szCs w:val="24"/>
              </w:rPr>
              <w:t>B=[-2,5) podejdź do tablicy i powiedz „Iloczynowi przedziałów A i B odpowiada ta część osi, która jest zaznaczona dwoma kolorami. Inaczej mówiąc, iloczyn przedziałów, to część wspólna tych przedziałów. Elementy muszą należeć do obu przedziałów.”, a następnie zapisz na tablicy A ∩ B =(0,3].</w:t>
            </w:r>
            <w:r w:rsidR="008C0A9D" w:rsidRPr="00BF00C2">
              <w:rPr>
                <w:sz w:val="24"/>
                <w:szCs w:val="24"/>
              </w:rPr>
              <w:t xml:space="preserve"> Następnie wróć na swoje miejsce.</w:t>
            </w:r>
          </w:p>
          <w:p w14:paraId="219C8894" w14:textId="5FB12DDA" w:rsidR="00BF00C2" w:rsidRPr="00BF00C2" w:rsidRDefault="00BF00C2">
            <w:pPr>
              <w:rPr>
                <w:sz w:val="24"/>
                <w:szCs w:val="24"/>
              </w:rPr>
            </w:pPr>
          </w:p>
        </w:tc>
      </w:tr>
      <w:tr w:rsidR="006C5A37" w14:paraId="653995B5" w14:textId="77777777" w:rsidTr="00BF00C2">
        <w:trPr>
          <w:trHeight w:val="806"/>
        </w:trPr>
        <w:tc>
          <w:tcPr>
            <w:tcW w:w="9493" w:type="dxa"/>
          </w:tcPr>
          <w:p w14:paraId="53898234" w14:textId="77777777" w:rsidR="006C5A37" w:rsidRDefault="007D5689">
            <w:pPr>
              <w:rPr>
                <w:sz w:val="24"/>
                <w:szCs w:val="24"/>
              </w:rPr>
            </w:pPr>
            <w:r w:rsidRPr="00BF00C2">
              <w:rPr>
                <w:sz w:val="24"/>
                <w:szCs w:val="24"/>
              </w:rPr>
              <w:t xml:space="preserve">Kiedy na tablicy pojawi się zapis A ∩ B =(0,3] wstań i powiedz „Zauważcie, że 0 należy tylko do przedziału A, </w:t>
            </w:r>
            <w:r w:rsidR="00E24B0E" w:rsidRPr="00BF00C2">
              <w:rPr>
                <w:sz w:val="24"/>
                <w:szCs w:val="24"/>
              </w:rPr>
              <w:t xml:space="preserve">a </w:t>
            </w:r>
            <w:r w:rsidRPr="00BF00C2">
              <w:rPr>
                <w:sz w:val="24"/>
                <w:szCs w:val="24"/>
              </w:rPr>
              <w:t>B jest przedziałem obustronnie otwartym. Zatem zapisując iloczyn przedziałów A i B musimy wyrzucić z niego 0, zapisujemy zatem nawias okrągły.</w:t>
            </w:r>
          </w:p>
          <w:p w14:paraId="10C15DD6" w14:textId="4370A57D" w:rsidR="00BF00C2" w:rsidRPr="00BF00C2" w:rsidRDefault="00BF00C2">
            <w:pPr>
              <w:rPr>
                <w:sz w:val="24"/>
                <w:szCs w:val="24"/>
              </w:rPr>
            </w:pPr>
          </w:p>
        </w:tc>
      </w:tr>
      <w:tr w:rsidR="006C5A37" w14:paraId="154DEBE9" w14:textId="77777777" w:rsidTr="00BF00C2">
        <w:trPr>
          <w:trHeight w:val="806"/>
        </w:trPr>
        <w:tc>
          <w:tcPr>
            <w:tcW w:w="9493" w:type="dxa"/>
          </w:tcPr>
          <w:p w14:paraId="1BD1DF08" w14:textId="77777777" w:rsidR="006C5A37" w:rsidRDefault="007D5689">
            <w:pPr>
              <w:rPr>
                <w:sz w:val="24"/>
                <w:szCs w:val="24"/>
              </w:rPr>
            </w:pPr>
            <w:r w:rsidRPr="00BF00C2">
              <w:rPr>
                <w:sz w:val="24"/>
                <w:szCs w:val="24"/>
              </w:rPr>
              <w:t xml:space="preserve">Kiedy ktoś powie „Zatem zapisując iloczyn przedziałów A i B musimy wyrzucić z niego 0, zapisujemy zatem nawias okrągły.” Wstań i powiedz „Liczba 3 należy do obu przedziałów, zatem należy do iloczynu przedziałów A i B, </w:t>
            </w:r>
            <w:r w:rsidR="00403F1F" w:rsidRPr="00BF00C2">
              <w:rPr>
                <w:sz w:val="24"/>
                <w:szCs w:val="24"/>
              </w:rPr>
              <w:t xml:space="preserve">więc </w:t>
            </w:r>
            <w:r w:rsidRPr="00BF00C2">
              <w:rPr>
                <w:sz w:val="24"/>
                <w:szCs w:val="24"/>
              </w:rPr>
              <w:t>zapisujemy przy niej nawias kwadratowy.</w:t>
            </w:r>
          </w:p>
          <w:p w14:paraId="6D313F15" w14:textId="5D54DDE7" w:rsidR="00BF00C2" w:rsidRPr="00BF00C2" w:rsidRDefault="00BF00C2">
            <w:pPr>
              <w:rPr>
                <w:sz w:val="24"/>
                <w:szCs w:val="24"/>
              </w:rPr>
            </w:pPr>
          </w:p>
        </w:tc>
      </w:tr>
      <w:tr w:rsidR="006C5A37" w14:paraId="2660F330" w14:textId="77777777" w:rsidTr="00BF00C2">
        <w:trPr>
          <w:trHeight w:val="1083"/>
        </w:trPr>
        <w:tc>
          <w:tcPr>
            <w:tcW w:w="9493" w:type="dxa"/>
          </w:tcPr>
          <w:p w14:paraId="30D2E4B9" w14:textId="77777777" w:rsidR="006C5A37" w:rsidRDefault="00D02AE3">
            <w:pPr>
              <w:rPr>
                <w:sz w:val="24"/>
                <w:szCs w:val="24"/>
              </w:rPr>
            </w:pPr>
            <w:r w:rsidRPr="00BF00C2">
              <w:rPr>
                <w:sz w:val="24"/>
                <w:szCs w:val="24"/>
              </w:rPr>
              <w:t xml:space="preserve">Kiedy ktoś powie „Liczba 3 należy do obu przedziałów, zatem należy do iloczynu przedziałów A i B, </w:t>
            </w:r>
            <w:r w:rsidR="00403F1F" w:rsidRPr="00BF00C2">
              <w:rPr>
                <w:sz w:val="24"/>
                <w:szCs w:val="24"/>
              </w:rPr>
              <w:t>więc</w:t>
            </w:r>
            <w:r w:rsidRPr="00BF00C2">
              <w:rPr>
                <w:sz w:val="24"/>
                <w:szCs w:val="24"/>
              </w:rPr>
              <w:t xml:space="preserve"> zapisujemy przy niej nawias kwadratowy.” Podejdź do tablicy i powiedz „Różnicy A \ B odpowiada ta część osi, która jest zaznaczona tylko kolorem zielonym”, a następnie zapisz na tablicy A \ B = [−2; 0</w:t>
            </w:r>
            <w:r w:rsidRPr="00BF00C2">
              <w:rPr>
                <w:sz w:val="24"/>
                <w:szCs w:val="24"/>
              </w:rPr>
              <w:br w:type="page"/>
              <w:t>].</w:t>
            </w:r>
            <w:r w:rsidR="008C0A9D" w:rsidRPr="00BF00C2">
              <w:rPr>
                <w:sz w:val="24"/>
                <w:szCs w:val="24"/>
              </w:rPr>
              <w:t xml:space="preserve"> Następnie wróć na swoje miejsce.</w:t>
            </w:r>
          </w:p>
          <w:p w14:paraId="6960170B" w14:textId="2E8148CE" w:rsidR="00BF00C2" w:rsidRPr="00BF00C2" w:rsidRDefault="00BF00C2">
            <w:pPr>
              <w:rPr>
                <w:sz w:val="24"/>
                <w:szCs w:val="24"/>
              </w:rPr>
            </w:pPr>
          </w:p>
        </w:tc>
      </w:tr>
      <w:tr w:rsidR="006C5A37" w14:paraId="6C7ECB5C" w14:textId="77777777" w:rsidTr="00BF00C2">
        <w:trPr>
          <w:trHeight w:val="529"/>
        </w:trPr>
        <w:tc>
          <w:tcPr>
            <w:tcW w:w="9493" w:type="dxa"/>
          </w:tcPr>
          <w:p w14:paraId="203403CE" w14:textId="77777777" w:rsidR="00D02AE3" w:rsidRDefault="00D02AE3">
            <w:pPr>
              <w:rPr>
                <w:sz w:val="24"/>
                <w:szCs w:val="24"/>
              </w:rPr>
            </w:pPr>
            <w:r w:rsidRPr="00BF00C2">
              <w:rPr>
                <w:sz w:val="24"/>
                <w:szCs w:val="24"/>
              </w:rPr>
              <w:t xml:space="preserve">Kiedy na tablicy pojawi się zapis A \ B = [−2; 0] wstań i powiedz „Inaczej mówiąc, do różnicy przedziałów A </w:t>
            </w:r>
            <w:r w:rsidR="008C0A9D" w:rsidRPr="00BF00C2">
              <w:rPr>
                <w:sz w:val="24"/>
                <w:szCs w:val="24"/>
              </w:rPr>
              <w:t>i</w:t>
            </w:r>
            <w:r w:rsidRPr="00BF00C2">
              <w:rPr>
                <w:sz w:val="24"/>
                <w:szCs w:val="24"/>
              </w:rPr>
              <w:t xml:space="preserve"> B należą elementy, </w:t>
            </w:r>
            <w:proofErr w:type="spellStart"/>
            <w:r w:rsidRPr="00BF00C2">
              <w:rPr>
                <w:sz w:val="24"/>
                <w:szCs w:val="24"/>
              </w:rPr>
              <w:t>któr</w:t>
            </w:r>
            <w:proofErr w:type="spellEnd"/>
            <w:r w:rsidRPr="00BF00C2">
              <w:rPr>
                <w:sz w:val="24"/>
                <w:szCs w:val="24"/>
              </w:rPr>
              <w:br w:type="page"/>
              <w:t>e należą do przedziału A, ale nie należą do przedziału B.”</w:t>
            </w:r>
          </w:p>
          <w:p w14:paraId="705E4B61" w14:textId="259D578A" w:rsidR="00BF00C2" w:rsidRPr="00BF00C2" w:rsidRDefault="00BF00C2">
            <w:pPr>
              <w:rPr>
                <w:sz w:val="24"/>
                <w:szCs w:val="24"/>
              </w:rPr>
            </w:pPr>
          </w:p>
        </w:tc>
      </w:tr>
      <w:tr w:rsidR="00D02AE3" w14:paraId="2DFE6345" w14:textId="77777777" w:rsidTr="00BF00C2">
        <w:trPr>
          <w:trHeight w:val="1083"/>
        </w:trPr>
        <w:tc>
          <w:tcPr>
            <w:tcW w:w="9493" w:type="dxa"/>
          </w:tcPr>
          <w:p w14:paraId="5339117B" w14:textId="77777777" w:rsidR="00D02AE3" w:rsidRDefault="00D02AE3">
            <w:pPr>
              <w:rPr>
                <w:sz w:val="24"/>
                <w:szCs w:val="24"/>
              </w:rPr>
            </w:pPr>
            <w:r w:rsidRPr="00BF00C2">
              <w:rPr>
                <w:sz w:val="24"/>
                <w:szCs w:val="24"/>
              </w:rPr>
              <w:t xml:space="preserve">Kiedy usłyszysz „Inaczej mówiąc, do różnicy przedziałów A </w:t>
            </w:r>
            <w:r w:rsidR="008C0A9D" w:rsidRPr="00BF00C2">
              <w:rPr>
                <w:sz w:val="24"/>
                <w:szCs w:val="24"/>
              </w:rPr>
              <w:t>i</w:t>
            </w:r>
            <w:r w:rsidRPr="00BF00C2">
              <w:rPr>
                <w:sz w:val="24"/>
                <w:szCs w:val="24"/>
              </w:rPr>
              <w:t xml:space="preserve"> B należą elementy, </w:t>
            </w:r>
            <w:proofErr w:type="spellStart"/>
            <w:r w:rsidRPr="00BF00C2">
              <w:rPr>
                <w:sz w:val="24"/>
                <w:szCs w:val="24"/>
              </w:rPr>
              <w:t>któr</w:t>
            </w:r>
            <w:proofErr w:type="spellEnd"/>
            <w:r w:rsidRPr="00BF00C2">
              <w:rPr>
                <w:sz w:val="24"/>
                <w:szCs w:val="24"/>
              </w:rPr>
              <w:br w:type="page"/>
              <w:t xml:space="preserve">e należą do przedziału A, ale nie należą do przedziału B.” wstań i powiedz „Zwróćcie uwagę na krańce przedziału A\B. Zero należy do przedziału A, ale nie należy do przedziału B, </w:t>
            </w:r>
            <w:r w:rsidR="004F7FFC" w:rsidRPr="00BF00C2">
              <w:rPr>
                <w:sz w:val="24"/>
                <w:szCs w:val="24"/>
              </w:rPr>
              <w:t>więc</w:t>
            </w:r>
            <w:r w:rsidRPr="00BF00C2">
              <w:rPr>
                <w:sz w:val="24"/>
                <w:szCs w:val="24"/>
              </w:rPr>
              <w:t xml:space="preserve"> spełnia warunki, o których mówiła poprzednia osoba. Zatem przy zero zapisujemy nawias kwadratowy.”</w:t>
            </w:r>
          </w:p>
          <w:p w14:paraId="6F8720B3" w14:textId="55BD1E1D" w:rsidR="00BF00C2" w:rsidRPr="00BF00C2" w:rsidRDefault="00BF00C2">
            <w:pPr>
              <w:rPr>
                <w:sz w:val="24"/>
                <w:szCs w:val="24"/>
              </w:rPr>
            </w:pPr>
          </w:p>
        </w:tc>
      </w:tr>
      <w:tr w:rsidR="00D02AE3" w14:paraId="61DAAC58" w14:textId="77777777" w:rsidTr="00BF00C2">
        <w:trPr>
          <w:trHeight w:val="806"/>
        </w:trPr>
        <w:tc>
          <w:tcPr>
            <w:tcW w:w="9493" w:type="dxa"/>
          </w:tcPr>
          <w:p w14:paraId="42F9824F" w14:textId="77777777" w:rsidR="00D02AE3" w:rsidRDefault="00D02AE3">
            <w:pPr>
              <w:rPr>
                <w:sz w:val="24"/>
                <w:szCs w:val="24"/>
              </w:rPr>
            </w:pPr>
            <w:r w:rsidRPr="00BF00C2">
              <w:rPr>
                <w:sz w:val="24"/>
                <w:szCs w:val="24"/>
              </w:rPr>
              <w:t>Kiedy ktoś powie „Zatem przy zero zapisujemy nawias kwadratowy.” Podejdź do tablicy i powiedz „Różnicy B \ A odpowiada ta część osi, która jest zaznaczona tylko kolorem czerwonym.”</w:t>
            </w:r>
            <w:r w:rsidR="008C0A9D" w:rsidRPr="00BF00C2">
              <w:rPr>
                <w:sz w:val="24"/>
                <w:szCs w:val="24"/>
              </w:rPr>
              <w:t>, a następnie zapisz na tablicy B \ A = (3; 5). Następnie wróć na swoje miejsce.</w:t>
            </w:r>
          </w:p>
          <w:p w14:paraId="2D243A3B" w14:textId="4F607872" w:rsidR="00BF00C2" w:rsidRPr="00BF00C2" w:rsidRDefault="00BF00C2">
            <w:pPr>
              <w:rPr>
                <w:sz w:val="24"/>
                <w:szCs w:val="24"/>
              </w:rPr>
            </w:pPr>
          </w:p>
        </w:tc>
      </w:tr>
      <w:tr w:rsidR="00D02AE3" w14:paraId="717BDDEB" w14:textId="77777777" w:rsidTr="00BF00C2">
        <w:trPr>
          <w:trHeight w:val="529"/>
        </w:trPr>
        <w:tc>
          <w:tcPr>
            <w:tcW w:w="9493" w:type="dxa"/>
          </w:tcPr>
          <w:p w14:paraId="64F26F20" w14:textId="77777777" w:rsidR="00D02AE3" w:rsidRDefault="008C0A9D">
            <w:pPr>
              <w:rPr>
                <w:sz w:val="24"/>
                <w:szCs w:val="24"/>
              </w:rPr>
            </w:pPr>
            <w:r w:rsidRPr="00BF00C2">
              <w:rPr>
                <w:sz w:val="24"/>
                <w:szCs w:val="24"/>
              </w:rPr>
              <w:lastRenderedPageBreak/>
              <w:t xml:space="preserve">Kiedy na tablicy pojawi się zapis B \ A = (3; 5) wstań i powiedz „Inaczej mówiąc, do różnicy przedziałów B i A należą elementy, </w:t>
            </w:r>
            <w:proofErr w:type="spellStart"/>
            <w:r w:rsidRPr="00BF00C2">
              <w:rPr>
                <w:sz w:val="24"/>
                <w:szCs w:val="24"/>
              </w:rPr>
              <w:t>któr</w:t>
            </w:r>
            <w:proofErr w:type="spellEnd"/>
            <w:r w:rsidRPr="00BF00C2">
              <w:rPr>
                <w:sz w:val="24"/>
                <w:szCs w:val="24"/>
              </w:rPr>
              <w:br w:type="page"/>
              <w:t>e należą do przedziału B, ale nie należą do przedziału A.”</w:t>
            </w:r>
          </w:p>
          <w:p w14:paraId="6BD1FA4A" w14:textId="7908E2D1" w:rsidR="00BF00C2" w:rsidRPr="00BF00C2" w:rsidRDefault="00BF00C2">
            <w:pPr>
              <w:rPr>
                <w:sz w:val="24"/>
                <w:szCs w:val="24"/>
              </w:rPr>
            </w:pPr>
          </w:p>
        </w:tc>
      </w:tr>
      <w:tr w:rsidR="008C0A9D" w14:paraId="793AB0C7" w14:textId="77777777" w:rsidTr="00BF00C2">
        <w:trPr>
          <w:trHeight w:val="1083"/>
        </w:trPr>
        <w:tc>
          <w:tcPr>
            <w:tcW w:w="9493" w:type="dxa"/>
          </w:tcPr>
          <w:p w14:paraId="4CCDD39A" w14:textId="77777777" w:rsidR="008C0A9D" w:rsidRDefault="008C0A9D">
            <w:pPr>
              <w:rPr>
                <w:sz w:val="24"/>
                <w:szCs w:val="24"/>
              </w:rPr>
            </w:pPr>
            <w:r w:rsidRPr="00BF00C2">
              <w:rPr>
                <w:sz w:val="24"/>
                <w:szCs w:val="24"/>
              </w:rPr>
              <w:t xml:space="preserve">Kiedy usłyszysz „ Inaczej mówiąc, do różnicy przedziałów B i A należą elementy, </w:t>
            </w:r>
            <w:proofErr w:type="spellStart"/>
            <w:r w:rsidRPr="00BF00C2">
              <w:rPr>
                <w:sz w:val="24"/>
                <w:szCs w:val="24"/>
              </w:rPr>
              <w:t>któr</w:t>
            </w:r>
            <w:proofErr w:type="spellEnd"/>
            <w:r w:rsidRPr="00BF00C2">
              <w:rPr>
                <w:sz w:val="24"/>
                <w:szCs w:val="24"/>
              </w:rPr>
              <w:br w:type="page"/>
              <w:t>e należą do przedziału B, ale nie należą do przedziału A.” powiedz „Zwróćmy uwagę na nawias, który stoi przy 3. Liczba 3 należy do przedziału A,</w:t>
            </w:r>
            <w:r w:rsidR="004F7FFC" w:rsidRPr="00BF00C2">
              <w:rPr>
                <w:sz w:val="24"/>
                <w:szCs w:val="24"/>
              </w:rPr>
              <w:t xml:space="preserve"> więc</w:t>
            </w:r>
            <w:r w:rsidRPr="00BF00C2">
              <w:rPr>
                <w:sz w:val="24"/>
                <w:szCs w:val="24"/>
              </w:rPr>
              <w:t xml:space="preserve"> nie spełnia warunków, o których mówiła poprzednia osoba, musimy zatem zapisać tutaj nawias okrągły.</w:t>
            </w:r>
            <w:r w:rsidR="00326283" w:rsidRPr="00BF00C2">
              <w:rPr>
                <w:sz w:val="24"/>
                <w:szCs w:val="24"/>
              </w:rPr>
              <w:t>”</w:t>
            </w:r>
          </w:p>
          <w:p w14:paraId="3FCB66FC" w14:textId="50C9123F" w:rsidR="00BF00C2" w:rsidRPr="00BF00C2" w:rsidRDefault="00BF00C2">
            <w:pPr>
              <w:rPr>
                <w:sz w:val="24"/>
                <w:szCs w:val="24"/>
              </w:rPr>
            </w:pPr>
          </w:p>
        </w:tc>
      </w:tr>
      <w:tr w:rsidR="008C0A9D" w14:paraId="0D3FFBF5" w14:textId="77777777" w:rsidTr="00BF00C2">
        <w:trPr>
          <w:trHeight w:val="1336"/>
        </w:trPr>
        <w:tc>
          <w:tcPr>
            <w:tcW w:w="9493" w:type="dxa"/>
          </w:tcPr>
          <w:p w14:paraId="7C23B08D" w14:textId="77777777" w:rsidR="008C0A9D" w:rsidRDefault="008C0A9D">
            <w:pPr>
              <w:rPr>
                <w:sz w:val="24"/>
                <w:szCs w:val="24"/>
              </w:rPr>
            </w:pPr>
            <w:r w:rsidRPr="00BF00C2">
              <w:rPr>
                <w:sz w:val="24"/>
                <w:szCs w:val="24"/>
              </w:rPr>
              <w:t xml:space="preserve">Kiedy usłyszysz „Zwróćmy uwagę na nawias, który stoi przy 3. Liczba 3 należy do przedziału A, </w:t>
            </w:r>
            <w:r w:rsidR="004F7FFC" w:rsidRPr="00BF00C2">
              <w:rPr>
                <w:sz w:val="24"/>
                <w:szCs w:val="24"/>
              </w:rPr>
              <w:t>więc</w:t>
            </w:r>
            <w:r w:rsidRPr="00BF00C2">
              <w:rPr>
                <w:sz w:val="24"/>
                <w:szCs w:val="24"/>
              </w:rPr>
              <w:t xml:space="preserve"> nie spełnia warunków, o których mówiła poprzednia osoba, musimy zatem zapisać tutaj nawias okrągły.” Wstań i powiedz „Wykonując działania na przedziałach, zwróć szczególną uwagę na ich końce. Na osi liczbowej używamy pustego kółka, gdy liczba odpowiadająca temu punktowi nie należy do zbioru, a kółka zamalowanego – gdy należy. </w:t>
            </w:r>
          </w:p>
          <w:p w14:paraId="6C2CC9A0" w14:textId="0F3B972F" w:rsidR="00BF00C2" w:rsidRPr="00BF00C2" w:rsidRDefault="00BF00C2">
            <w:pPr>
              <w:rPr>
                <w:sz w:val="24"/>
                <w:szCs w:val="24"/>
              </w:rPr>
            </w:pPr>
          </w:p>
        </w:tc>
      </w:tr>
      <w:tr w:rsidR="008C0A9D" w14:paraId="5A849B92" w14:textId="77777777" w:rsidTr="00BF00C2">
        <w:trPr>
          <w:trHeight w:val="1372"/>
        </w:trPr>
        <w:tc>
          <w:tcPr>
            <w:tcW w:w="9493" w:type="dxa"/>
          </w:tcPr>
          <w:p w14:paraId="25C93217" w14:textId="77777777" w:rsidR="008C0A9D" w:rsidRDefault="008C0A9D">
            <w:pPr>
              <w:rPr>
                <w:sz w:val="24"/>
                <w:szCs w:val="24"/>
              </w:rPr>
            </w:pPr>
            <w:r w:rsidRPr="00BF00C2">
              <w:rPr>
                <w:sz w:val="24"/>
                <w:szCs w:val="24"/>
              </w:rPr>
              <w:t xml:space="preserve">Kiedy ktoś powie „Wykonując działania na przedziałach, zwróć szczególną uwagę na ich końce. Na osi liczbowej używamy pustego kółka, gdy liczba odpowiadająca temu punktowi nie należy do zbioru, a kółka zamalowanego – gdy należy.” Wstań i powiedz „Przypomnieliśmy sobie najważniejsze informacje! Pani Weroniko, jesteśmy gotowi, aby rozwiązywać zadania – nawet te </w:t>
            </w:r>
            <w:r w:rsidR="00296D15" w:rsidRPr="00BF00C2">
              <w:rPr>
                <w:sz w:val="24"/>
                <w:szCs w:val="24"/>
              </w:rPr>
              <w:t>naj</w:t>
            </w:r>
            <w:r w:rsidRPr="00BF00C2">
              <w:rPr>
                <w:sz w:val="24"/>
                <w:szCs w:val="24"/>
              </w:rPr>
              <w:t>trudniejsze!”</w:t>
            </w:r>
            <w:r w:rsidR="00296D15" w:rsidRPr="00BF00C2">
              <w:rPr>
                <w:sz w:val="24"/>
                <w:szCs w:val="24"/>
              </w:rPr>
              <w:t xml:space="preserve"> </w:t>
            </w:r>
            <w:r w:rsidR="00296D15" w:rsidRPr="00BF00C2">
              <w:rPr>
                <mc:AlternateContent>
                  <mc:Choice Requires="w16se"/>
                  <mc:Fallback>
                    <w:rFonts w:ascii="Segoe UI Emoji" w:eastAsia="Segoe UI Emoji" w:hAnsi="Segoe UI Emoji" w:cs="Segoe UI Emoji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  <w:p w14:paraId="2ABAC782" w14:textId="00390032" w:rsidR="00BF00C2" w:rsidRPr="00BF00C2" w:rsidRDefault="00BF00C2">
            <w:pPr>
              <w:rPr>
                <w:sz w:val="24"/>
                <w:szCs w:val="24"/>
              </w:rPr>
            </w:pPr>
          </w:p>
        </w:tc>
      </w:tr>
    </w:tbl>
    <w:p w14:paraId="53E84A1F" w14:textId="77777777" w:rsidR="00C9082E" w:rsidRDefault="00C9082E" w:rsidP="00BF00C2"/>
    <w:sectPr w:rsidR="00C908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B860B3" w14:textId="77777777" w:rsidR="00853F74" w:rsidRDefault="00853F74" w:rsidP="00D02AE3">
      <w:pPr>
        <w:spacing w:after="0" w:line="240" w:lineRule="auto"/>
      </w:pPr>
      <w:r>
        <w:separator/>
      </w:r>
    </w:p>
  </w:endnote>
  <w:endnote w:type="continuationSeparator" w:id="0">
    <w:p w14:paraId="2436C6B3" w14:textId="77777777" w:rsidR="00853F74" w:rsidRDefault="00853F74" w:rsidP="00D02A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A051D" w14:textId="77777777" w:rsidR="00853F74" w:rsidRDefault="00853F74" w:rsidP="00D02AE3">
      <w:pPr>
        <w:spacing w:after="0" w:line="240" w:lineRule="auto"/>
      </w:pPr>
      <w:r>
        <w:separator/>
      </w:r>
    </w:p>
  </w:footnote>
  <w:footnote w:type="continuationSeparator" w:id="0">
    <w:p w14:paraId="712B7D43" w14:textId="77777777" w:rsidR="00853F74" w:rsidRDefault="00853F74" w:rsidP="00D02A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A37"/>
    <w:rsid w:val="000A18B0"/>
    <w:rsid w:val="00296D15"/>
    <w:rsid w:val="002C2A22"/>
    <w:rsid w:val="00326283"/>
    <w:rsid w:val="003317B0"/>
    <w:rsid w:val="00403F1F"/>
    <w:rsid w:val="00454A86"/>
    <w:rsid w:val="004F7FFC"/>
    <w:rsid w:val="006C5A37"/>
    <w:rsid w:val="00746E4A"/>
    <w:rsid w:val="007D5689"/>
    <w:rsid w:val="00853F74"/>
    <w:rsid w:val="008C0A9D"/>
    <w:rsid w:val="00BF00C2"/>
    <w:rsid w:val="00C9082E"/>
    <w:rsid w:val="00D02AE3"/>
    <w:rsid w:val="00E24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B9F2B"/>
  <w15:chartTrackingRefBased/>
  <w15:docId w15:val="{EFEFBDF2-128B-45ED-83BC-EA7BF0C80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C5A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02AE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02AE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02AE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638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Weronika Figurska-Zięba</dc:creator>
  <cp:keywords/>
  <dc:description/>
  <cp:lastModifiedBy>Weronika Figurska-Zięba</cp:lastModifiedBy>
  <cp:revision>9</cp:revision>
  <dcterms:created xsi:type="dcterms:W3CDTF">2022-12-04T19:04:00Z</dcterms:created>
  <dcterms:modified xsi:type="dcterms:W3CDTF">2022-12-09T18:54:00Z</dcterms:modified>
</cp:coreProperties>
</file>